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-227" w:rightChars="-108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第九届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巢湖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学院“互联网+”大学生创新创业大赛“青年红色筑梦之旅”活动方案</w:t>
      </w:r>
    </w:p>
    <w:p>
      <w:pPr>
        <w:widowControl/>
        <w:spacing w:line="360" w:lineRule="auto"/>
        <w:ind w:right="-227" w:rightChars="-108" w:firstLine="480" w:firstLineChars="200"/>
        <w:rPr>
          <w:rFonts w:hint="eastAsia" w:ascii="宋体" w:hAnsi="宋体" w:cs="宋体"/>
          <w:color w:val="000000"/>
          <w:sz w:val="24"/>
          <w:lang w:bidi="ar"/>
        </w:rPr>
      </w:pPr>
      <w:r>
        <w:rPr>
          <w:rFonts w:ascii="宋体" w:hAnsi="宋体" w:cs="宋体"/>
          <w:color w:val="000000"/>
          <w:sz w:val="24"/>
          <w:lang w:bidi="ar"/>
        </w:rPr>
        <w:t xml:space="preserve">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第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 w:bidi="ar"/>
        </w:rPr>
        <w:t>九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 w:bidi="ar"/>
        </w:rPr>
        <w:t>巢湖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学院“互联网+”大学生创新创业大赛继续在更大范围、更高层次、更有温度、更深程度上开展“青年红色筑梦之旅”活动。方案如下。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  <w:t>一、活动主题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红色青春筑梦创业人生 绿色发展助力乡村振兴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  <w:t>二、主要目标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深入贯彻落实习近平总书记给“青年红色筑梦之旅”活动大学生重要回信精神，围绕迎接党的二十大胜利召开，将思政教育、专业教育与创新创业教育相结合，传承红色基因，坚定理想信念，全面推进课程思政，涵养青年学生家国情怀；以新工科、新医科、新农科、新文科助力“新农村、新农业、新农民、新生态”建设，引导师生扎根基层创新创业，推动乡村振兴取得新进展、农业农村现代化迈出新步伐。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  <w:t>三、主要活动与时间安排</w:t>
      </w:r>
    </w:p>
    <w:p>
      <w:pPr>
        <w:widowControl/>
        <w:spacing w:line="360" w:lineRule="auto"/>
        <w:ind w:right="-227" w:rightChars="-108" w:firstLine="643" w:firstLineChars="200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  <w:t>（一）制定方案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各二级学院要要聚焦“新农村、新农业、新农民、新生态”建设，围绕乡村“产业振兴、人才振兴、文化振兴、生态振兴、组织振兴”要求，结合地方实际需求，制定本院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 w:bidi="ar"/>
        </w:rPr>
        <w:t>2023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年“青年红色筑梦之旅”活动方案，要明确活动时间、地点、规模、形式、支持条件等内容。</w:t>
      </w:r>
    </w:p>
    <w:p>
      <w:pPr>
        <w:widowControl/>
        <w:spacing w:line="360" w:lineRule="auto"/>
        <w:ind w:right="-227" w:rightChars="-108" w:firstLine="643" w:firstLineChars="200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  <w:t>（二）活动报名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各二级学院要积极挖掘本地优质创新创业项目参与活动，组织团队登录“全国大学生创业服务网”（网址：cy.ncss.cn）或微信公众号（名称为“全国大学生创业服务网”或“中国互联网十大学生创新创业大赛”）进行报名，报名系统开放时间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 w:bidi="ar"/>
        </w:rPr>
        <w:t>另行通知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。</w:t>
      </w:r>
    </w:p>
    <w:p>
      <w:pPr>
        <w:widowControl/>
        <w:spacing w:line="360" w:lineRule="auto"/>
        <w:ind w:right="-227" w:rightChars="-108" w:firstLine="643" w:firstLineChars="200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  <w:t>（三）组织实施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各二级学院在跟踪调研往届“青年红色筑梦之旅”活动项目进展的基础上，负责组织本次“青年红色筑梦之旅”活动，做好需求对接、培训宣传及创造项目落地环境等工作。重点围绕科技、农业、环保等方面需求，结合大学生项目团队的优势，助力乡村振兴，支持大学生开展创业就业，通过大学生创新创业训练计划项目、创新创业专项经费、师生共创、校地协同等多种形式，努力实现项目长期对接，推出一批帮扶品牌项目和帮扶示范区，发挥辐射带动作用，助力农业农村现代化建设。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  <w:t>四、“青年红色筑梦之旅”赛道安排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参加“青年红色筑梦之旅”活动的项目，符合大赛参赛要求的，可自主选择参加“青年红色筑梦之旅”赛道。 </w:t>
      </w:r>
    </w:p>
    <w:p>
      <w:pPr>
        <w:widowControl/>
        <w:spacing w:line="360" w:lineRule="auto"/>
        <w:ind w:right="-227" w:rightChars="-108" w:firstLine="643" w:firstLineChars="200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  <w:t xml:space="preserve">（一）参赛项目要求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1.参加“青年红色筑梦之旅”赛道的项目应符合大赛参赛项目要求，同时在推进农业农村、城乡社区经济社会发展等方面有创新性、实效性和可持续性。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2.以团队为单位报名参赛。允许跨校组建团队，每个团队的成员3-5人，各二级学院重点项目不超过15人（包括项目负责人），须为项目的实际核心成员。参赛团队所报参赛创业项目，须为本团队策划或经营的项目，不得借用他人项目参赛。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3.参赛申报人须为项目负责人，须为普通高等学校全日制在校生（包括本专科生，不含在职教育），或毕业 5 年以内的全日制学生（即 201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 w:bidi="ar"/>
        </w:rPr>
        <w:t>8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年之后的毕业生，不含在职教育）。企业法定代表人在大赛通知发布之日后进行变更的不予认可。 </w:t>
      </w:r>
    </w:p>
    <w:p>
      <w:pPr>
        <w:widowControl/>
        <w:spacing w:line="360" w:lineRule="auto"/>
        <w:ind w:right="-227" w:rightChars="-108" w:firstLine="643" w:firstLineChars="200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bidi="ar"/>
        </w:rPr>
        <w:t xml:space="preserve">（二）参赛组别和对象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参加“青年红色筑梦之旅”赛道的项目，须为参加“青年红色筑梦之旅”活动的项目。否则一经发现，取消参赛资格。根据项目性质和特点，分为公益组、创意组、创业组。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1.公益组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（1）参赛项目不以营利为目标，积极弘扬公益精神，在公益服务领域具有较好的创意、产品或服务模式的创业计划和实践。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（2）参赛申报主体为独立的公益项目或社会组织，注册或未注册成立公益机构（或社会组织）的项目均可参赛。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2.创意组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（1）参赛项目基于专业和学科背景或相关资源，解决农业农村和城乡社区发展面临的主要问题，助力乡村振兴和社区治理，推动经济价值和社会价值的共同发展。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（2）参赛项目在大赛通知下发之日前尚未完成工商等各类登记注册。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3.创业组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 xml:space="preserve">（1）参赛项目以商业手段解决农业农村和城乡社区发展面临的主要问题、助力乡村振兴和社区治理，实现经济价值和社会价值的共同发展，推动共同富裕。 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（2）参赛项目在大赛通知下发之日前已完成工商等各类登记注册，学生须为法定代表人。项目的股权结构中，企业法定代表人的股权不得少于 10%，参赛成员股权合计不得少于 1/3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  <w:t>五、工作要求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1.高度重视、精心组织。各二级学院要成立专项工作组，推动形成地方、企业、社会联动共推的机制，确保各项工作落到实处。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2.广泛宣传、营造氛围。各二级学院应认真做好本次活动的宣传工作，通过提前谋划、集中启动、媒体传播，线上线下共同发力，全面展示本院青年大学生参与活动的生动实践和良好精神风貌。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4.敢于尝试、积极创新。利用网络直播、短视频等新型传播与销售途径，引导、助力红旅项目团队把握机会，积极创新创业。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bidi="ar"/>
        </w:rPr>
        <w:t>六、其他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  <w:t>本附件所涉及条款的最终解释权，归大赛组委会所有。</w:t>
      </w: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</w:p>
    <w:p>
      <w:pPr>
        <w:widowControl/>
        <w:spacing w:line="360" w:lineRule="auto"/>
        <w:ind w:right="-227" w:rightChars="-108"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bidi="ar"/>
        </w:rPr>
      </w:pPr>
    </w:p>
    <w:p>
      <w:pPr>
        <w:widowControl/>
        <w:spacing w:line="360" w:lineRule="auto"/>
        <w:ind w:right="-227" w:rightChars="-108" w:firstLine="480" w:firstLineChars="200"/>
        <w:rPr>
          <w:rFonts w:hint="eastAsia" w:ascii="宋体" w:hAnsi="宋体" w:cs="宋体"/>
          <w:color w:val="000000"/>
          <w:sz w:val="24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Q3Zjk2OThiNjIyMDUxN2Q3ZTdlNjk4YmVjNTNhMDMifQ=="/>
  </w:docVars>
  <w:rsids>
    <w:rsidRoot w:val="00E50412"/>
    <w:rsid w:val="001A06B8"/>
    <w:rsid w:val="00E50412"/>
    <w:rsid w:val="0B35643F"/>
    <w:rsid w:val="1BDA7E7A"/>
    <w:rsid w:val="280F5BC4"/>
    <w:rsid w:val="3556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